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74 vom 23. Oktober 2023</w:t>
      </w:r>
    </w:p>
    <w:p>
      <w:r>
        <w:t>VS Kantonsgericht, 2023-10-23, FR</w:t>
      </w:r>
    </w:p>
    <w:p>
      <w:r>
        <w:rPr>
          <w:b/>
        </w:rPr>
        <w:t xml:space="preserve">Quelle: </w:t>
      </w:r>
      <w:r>
        <w:t>https://mcp.opencaselaw.ch/entscheid/vs_gerichte_S2 20 74</w:t>
      </w:r>
    </w:p>
    <w:p>
      <w:r>
        <w:t>FR: VS_GERICHTE S2 20 74 du 23 octobre 2023</w:t>
      </w:r>
    </w:p>
    <w:p>
      <w:r>
        <w:t>IT: VS_GERICHTE S2 20 74 del 23 ottobre 2023</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14 novembre 2020, le présent recours à l'encontre de la décision sur opposition du 15 octobre précédent a été interjeté dans le délai légal de trente jours art. 38 al. 4 et 60 LPGA) devant le tribunal compétent (art. 56, 57 et 58 LPGA ; art. 81a al. 1 LPJA). Il répond par ailleurs aux autres conditions formelles de recevabilité (art. 61 let. b LPGA), de sorte que la Cour de céans doit entrer en matière.</w:t>
      </w:r>
    </w:p>
    <w:p>
      <w:r>
        <w:rPr>
          <w:b/>
        </w:rPr>
        <w:t>E. 2.1</w:t>
      </w:r>
    </w:p>
    <w:p>
      <w:r>
        <w:t>Le litige porte sur le droit du recourant à la reconnaissance comme maladie professionnelle de ses troubles pulmonaires.</w:t>
      </w:r>
    </w:p>
    <w:p>
      <w:r>
        <w:rPr>
          <w:b/>
        </w:rPr>
        <w:t>E. 2.2</w:t>
      </w:r>
    </w:p>
    <w:p>
      <w:r>
        <w:t>Selon l'article 6 alinéa 1 LAA, les prestations d'assurance sont allouées en cas d'accident professionnel, d'accident non professionnel et de maladie professionnelle. Sont réputées maladies professionnelles, les maladies (art. 3 LPGA) dues exclusivement ou de manière prépondérante, dans l'exercice de l'activité professionnelle, à des substances nocives ou à certains travaux (art. 9 al. 1, première phrase LAA). Ces substances et travaux, ainsi que les affections dues à ceux-ci sont énumérés de manière exhaustive (RAMA 1988 n° U 61 p. 447, U 98/87, consid. 1a) à l'annexe 1 de l'OLAA (arrêt du Tribunal fédéral 8C_757/2018 du 28 mars 2019). Selon la jurisprudence, l'exigence d'une relation prépondérante est réalisée lorsque la maladie est due pour plus de 50% à l'action d'une substance nocive mentionnée à l'annexe 1 de l'OLAA (ATF 119 V 200 consid. 2a et la référence ; RAMA 2006 no U 578 p. 174 [U 245/05] consid. 3.2). Les poussières d’amiante font l’objet d’une telle mention. Les principaux risques pour la santé associés à l’exposition à l’amiante sont le développement de fibroses (asbestose, lésions pleurales) et de cancers (essentiellement carcinome bronchique et mésothéliome ; ATF 133 V 421 consid. 5.1). Le risque de développement d’une maladie en raison d’une exposition à l’amiante dépend en particulier de l’intensité et de la durée d’exposition. Le temps de latence avant l’apparition de la maladie est important et peut s’étendre sur plusieurs décennies (ATF 140 II 7 et 133 V 421 consid. 5.1). Ce laps de temps n’a toutefois pas d’incidence sur le droit aux prestations de l’assurance-accidents</w:t>
      </w:r>
    </w:p>
    <w:p>
      <w:r>
        <w:t>- 13 - qui sont dues indépendamment de l’existence d’un rapport d’assurance au moment où la maladie s’est déclarée. Ce qui importe, c’est que l’intéressé ait été assuré pendant la durée de l’exposition (ALFRED MAURER, Schweizerisches Unfallversicherungsrecht, 2e éd. 1989, p. 219). Dans une fiche d’information du 3 juin 2015 éditée par l’Office fédéral de la santé publique (OFSP), il est précisé que l’asbestose apparaît après plusieurs années d’exposition intense à l’amiante, ce qui pouvait s’observer à différents postes de travail jusqu’à la fin des années 70. Elle se caractérise par des lésions cicatricielles du parenchyme pulmonaire, qui entravent la respiration et peuvent ainsi, dans les cas les plus graves, entraîner la mort. Les nouveaux cas d’asbestose sont rares à l’heure actuelle. Le travail et la manipulation des matériaux contenant de l’amiante libèrent de fines fibres qui, une fois inhalées, sont susceptibles de provoquer des maladies graves. Celles-ci ont généralement un long temps de latence ; elles se manifestent entre 15 à 45 ans après l’exposition à l'amiante.</w:t>
      </w:r>
    </w:p>
    <w:p>
      <w:r>
        <w:rPr>
          <w:b/>
        </w:rPr>
        <w:t>E. 2.3</w:t>
      </w:r>
    </w:p>
    <w:p>
      <w:r>
        <w:t>Sont aussi réputées maladies professionnelles les autres maladies dont il est prouvé qu'elles ont été causées exclusivement ou de manière nettement prépondérante par l'exercice de l'activité professionnelle (art. 9 al. 2 LAA).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V109 consid. 2b ; confirmé récemment à l’arrêt du Tribunal fédéral 8C_516/2020 du 3 février 2021 consid. 3.2.1). On suppose qu’on est en présence d’une cause nettement prépondérante (art. 9 al. 2 LAA) lorsqu’une affection est due à plus de 75% à l’exercice de l’activité professionnelle (ATF 126 V 183 consid.2b ; 119 V 200 consid. 2b ; 116 V 136 consid. 5a ; 114 V 109 consid. 3 et les références).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126 V 183 consid. 4c ; 116 V 136 consid. 5c ; RAMA 2000 n° U 408 p. 407 ; arrêts du Tribunal fédéral 8C_516/2020 du 3 février 2021 consid. 3.2.2, 8C_757/2018 du 28 mars 2019 consid. 4.2 et U 235/99 du 22 septembre 2000 consid. 1a). Selon la jurisprudence, le point de savoir si une affection est une maladie professionnelle au sens de l'article 9 alinéa 2 LAA est d'abord une question relevant de la preuve dans</w:t>
      </w:r>
    </w:p>
    <w:p>
      <w:r>
        <w:t>- 14 -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(proportion d’au moins 75%) au sens de l'article 9 alinéa 2 LAA.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p. 190 et les références ; arrêts du Tribunal fédéral 8C_620/2018 du 15 janvier 2019 consid. 2.2, 8C_415/2015 du 24 mars 2016 consid. 3.2 et U381/01 du 20 mars 2003 consid. 3.2 et 3.3).</w:t>
      </w:r>
    </w:p>
    <w:p>
      <w:r>
        <w:rPr>
          <w:b/>
        </w:rPr>
        <w:t>E. 2.4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arrêt du Tribunal fédéral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arrêt du Tribunal fédéral 8C_565/2008 du 27 janvier 2009 consid. 3.3.2).</w:t>
      </w:r>
    </w:p>
    <w:p>
      <w:r>
        <w:t>- 15 - Il résulte de ce qui précède que les rapports des médecins employés de l’assurance sont à prendre en considération tant qu’il n’existe aucun doute, même minime, sur l’exactitude de leurs conclusions (ATF 135 V 465 consid. 4.7 ; arrêt du Tribunal fédéral 8C_796/2016 du 14 juin 2017 consid. 3.3).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citées).</w:t>
      </w:r>
    </w:p>
    <w:p>
      <w:r>
        <w:rPr>
          <w:b/>
        </w:rPr>
        <w:t>E. 3.1</w:t>
      </w:r>
    </w:p>
    <w:p>
      <w:r>
        <w:t>Dans le cadre de la détermination de la présence d’une maladie professionnelle, il convient tout d’abord de déterminer quel diagnostic peut être posé sur la maladie dont souffre le recourant. Dans un premier temps, le Dr D _________ avait posé le diagnostic de syndrome emphysème-fibrose avec fibrose pulmonaire idiopathique et bronchiolite respiratoire avec pneumopathie interstitielle (rapport du 7 février 2017). Le Dr D _________ avait mis en lien ces diagnostics avec l’importante consommation tabagique du recourant. Il a ensuite confirmé son évaluation dans un avis du 28 avril 2017. Le 26 juillet suivant, il a écrit au Dr E _________ en indiquant que son impression était que la fibrose pulmonaire était favorisée par le tabac et qu’on manquait de données pour dire dans quelle mesure le travail avait joué dans la fibrose. Ce n’est qu’à la suite de l’analyse minéralogique effectuée par SILAG que le Dr D _________ a intégré l’asbestose dans ses diagnostics, alors qu’il ne l’avait pas envisagé auparavant. Dans un rapport daté du 11 février 2018, ce diagnostic avait également été écarté par le Dr F _________ de l’institut de pathologie du CHUV. Dans son avis du 30 avril 2018, le Dr H _________ de SILAG a indiqué ce qui suit : Auf Grund all dieser Befunde und Ausführungen komme ich zum Schluss, dass bei Herrn X _________ eine erhebliche Belastung mit Amphibol Asbest vorliegt, die ausreichen dürfte um eine (Minimal) asbestose auszulösen. Le Dr H _________ n’a ainsi pas posé un diagnostic clair et sans équivoque d’asbestose, mais a affirmé que le recourant avait</w:t>
      </w:r>
    </w:p>
    <w:p>
      <w:r>
        <w:t>- 16 - été exposé de manière significative à l'amiante amphibole, ce qui devrait suffire à déclencher une asbestose (minimale). L’utilisation du conditionnel par le Dr H _________ indique qu’il s’agit là d’une hypothèse, mais on ne peut nullement tirer des conclusions de ce rapport la présence certaine d’une asbestose. De l’avis des médecins du travail de la CNA, les Drs I _________ et R _________, la présence d’une asbestose ne peut pas être reconnue au sens de l’article 9 alinéa 1 LAA, compte tenu du fait que le CT-Scan de 2016 ne comportait pas les caractéristiques d’une asbestose et que l’analyse du parcours professionnel du recourant ne permettait pas de mettre en évidence au stade de la vraisemblance prépondérante une exposition à l’amiante. Le Dr R _________ a en outre précisé que le rapport SILAG témoignait uniquement que le recourant avait été exposé à de l’amiante, mais ne fournissait pas d’indication sur les circonstances de cette exposition. Il a également souligné qu’un CT-Scan effectué en avril 2021 signalait une nette péjoration de l’atteinte interstitielle compatible avec une pneumopathie interstitielle commune et une diminution de la micronodulation centro- lobulaire et verre dépoli (partiellement liée à une RB-ILD ancienne) visible précédemment. De l’avis du Dr R _________, aucune de ces pathologies n’était en relation de causalité démontrée ou à tout le moins vraisemblable avec de l’amiante. Compte tenu de l’ensemble de ces éléments, la Cour de céans considère que le diagnostic d’asbestose n’est pas établi, les conclusions de la Dresse P _________ ne pouvant au surplus pas être suivies pour les raisons exposées ci-après.</w:t>
      </w:r>
    </w:p>
    <w:p>
      <w:r>
        <w:rPr>
          <w:b/>
        </w:rPr>
        <w:t>E. 3.2</w:t>
      </w:r>
    </w:p>
    <w:p>
      <w:r>
        <w:t>En ce qui concerne l’anamnèse professionnelle du recourant, des divergences sont apparues entre la description du parcours professionnel faite par l’assuré lui-même lors de son entretien avec la CNA et celui décrit par la Dresse P _________. Le début de l’activité professionnelle de l’assuré se situe en A _________ et a duré de 1983 à 1993 selon ses propres déclarations (apprentissage de serrurier et activité dans une entreprise). Lors de son interrogatoire, l’assuré a souligné qu’il avait travaillé avec des matériaux propres durant cette période. En se référant au compte individuel AVS de l’assuré, on constate qu’à son arrivée en Suisse, il a travaillé de janvier à juillet 1991 auprès d’une entreprise située à Reussbühl (LU). Selon les dires de l’assuré, cette entreprise était active dans la transformation/rénovation et il y aurait fait également des travaux de soudure. L’assuré situe cette période à l’été 1990 alors que le compte individuel recense cet emploi en 1991. Il convient de remarquer que cette activité a été passée sous silence lors de la visite des inspecteurs de la CNA en février 2020. Aucun élément ne permet toutefois</w:t>
      </w:r>
    </w:p>
    <w:p>
      <w:r>
        <w:t>- 17 - d’objectiver la présence d’amiante dans le cadre de cette activité. Admettre une exposition dans un tel cas reviendrait à considérer que tout ouvrier qui travaille avec des matériaux de récupération est en contact avec de l’amiante, ce qui n’est bien évidemment pas le cas. Ensuite, de novembre 1992 à décembre 1996, il a travaillé régulièrement mais pas de manière continue auprès de plusieurs encaveurs saviésans pour lesquels il a effectué des travaux usuels de viticulture (taille, sulfatage et travaux de la vigne). Aucune exposition à l’amiante ne peut être déduite de ces emplois, pas plus que de celui de magasinier auprès de la J _________ entre 1997 et 1998. L’emploi auprès de S _________ SA effectué entre novembre 1999 et décembre 2000 concerne son activité de soudeur dans le tunnel de L _________. Aucune mesure d’amiante n’a été effectuée et selon les inspecteurs de la CNA, c’est seulement en mars 2002 que la présence d’amiante a été détectée, mais dans une autre galerie que le recourant n’avait pas fréquentée, de sorte que l’on ne peut reconnaître sur cette base une exposition à l’amiante. Entre 2002 et 2004, le recourant n’a pas travaillé en raison d’une greffe rénale subie le 12 avril 2003, cette intervention ayant été précédée de deux ans d’hémodialyse. Le compte individuel AVS mentionne ensuite des activités dès 2007 auprès d’agences de placement temporaire (T _________ SA, Q _________, U _________ SA en liquidation et V _________ SA). Interrogé sur ces activités, le recourant a décrit des emplois de soudeur, notamment dans la tranchée couverte de Tourtemagne (A9). Là encore, aucune exposition à l’amiante n’a pu être établie dans le cadre ces emplois. Depuis novembre 2009, le recourant a été employé par M _________ SA en qualité de soudeur ; cette entreprise a ensuite été rachetée par le groupe B _________. Les activités du recourant à partir de 2009 ont consisté en du meulage et de la soudure, en particulier selon ses déclarations sur des matériaux de récupération, notamment de poutres métalliques recouvertes de produits de protection. Le recourant affirme en outre que du matériel lié au désamiantage était entreposé dans le même atelier que celui dans lequel il travaillait chez B _________ mais ces allégations ne reposent que sur son seul témoignage, fait notamment lors de son audition devant la Cour de céans et ne sont corroborées par aucune autre pièce du dossier, le rapport de visite de la CNA de l’atelier de B _________ ne mentionnant pas cette proximité avec des matériaux provenant de rénovation, de démolition ou de transformation. Dans ces</w:t>
      </w:r>
    </w:p>
    <w:p>
      <w:r>
        <w:t>- 18 - conditions, il n’est pas possible de tenir pour avéré que le recourant aurait été en contact avec des matériaux liés à une activité de désamiantage qui auraient été entreposés dans la même halle que celle dans laquelle il exerçait son activité de soudeur. L’avis de la Dresse P _________, et en particulier l’anamnèse professionnelle qu’elle décrit, est sujet à caution. Tout d’abord, elle fait part d’une activité de rénovation/transformation durant l’année 1990, alors que cette activité n’avait pas été décrite par l’assuré lors de l’entretien effectué lors des visites des employés de la CNA des 7 et 14 janvier 2020. Ensuite elle parle de travaux de pose de toitures et de constructions de pont entre 1993 et 1997 alors que rien dans le parcours professionnel ne permet de trouver de telles activités, cette période correspondant à celles passées en tant qu’ouvrier-viticulteur. Elle indique également que l’assuré aurait travaillé entre 2010 et 2015 dans des locaux vétustes connus pour contenir de l’amiante, alors qu’aucun élément ne permet de soutenir une telle affirmation et que de plus, l’assuré n’a pas travaillé d’avril 2010 à janvier 2012 en raison d’un accident professionnel, ce que la Dresse P _________ ne mentionne pas. On relèvera également que la consommation de tabac est minimisée par la Dresse P _________, puisqu’elle situe celle-ci à 12 UPA de 1996 à 2016 alors que plusieurs autres pièces médicales du dossier évaluent la consommation au minimum entre 20 et 30 UPA. Enfin, l’affirmation de la Dresse P _________ selon laquelle il est connu que les soudeurs sont en contact avec de l’amiante constitue un pur jugement de valeur et ne repose sur aucun élément probant. Compte tenu de ces nombreuses imprécisions, le rapport de la Dresse P _________ ne peut être pris en compte, faute de valeur probante. Enfin, la Cour de céans relève que le temps de latence pour provoquer une asbestose est relativement long, au minimum de quinze ans (cf. ATF 133 V 421 et fiche d’information OFSP). Si l’on considère que les troubles pulmonaires de l’assuré ont commencé à être traités en 2013 par le Dr D _________, la maladie déclarée ne pourrait trouver son origine que dans des expositions antérieures à 1998. Or, on a vu qu’entre l’arrivée en Suisse en 1993 et 1998, aucune exposition ne pouvait être démontrée, un éventuel contact avec de l’amiante alors que l’assuré se trouvait encore en A _________ n’ayant pas à être investigué dans le cadre du présent litige, faute d’assurance et de domicile en Suisse à ce moment-là. Dès lors, il apparaît que le diagnostic d’asbestose n’est pas établi et quand bien même il le serait, le parcours professionnel de l’assuré ne permet pas de conclure à une</w:t>
      </w:r>
    </w:p>
    <w:p>
      <w:r>
        <w:t>- 19 - exposition telle qu’il aurait pu en résulter une maladie professionnelle. On rappellera enfin que la reconnaissance d'une maladie professionnelle suppose un lien de causalité qualifié entre l'influence de l'agent nocif et l'affection. Il ne suffit donc pas que l'agent soit une cause parmi d'autres de celle-ci (FRÉSARD/MOSER-SZELESS, L'assurance-accidents obligatoire, in: Soziale Sicherheit, SBVR vol. XIV, 2ème éd. 2007, p. 876 n. 107). C'est pourquoi la seule exposition à une substance nocive ne saurait présumer l'existence d'un lien de causalité entre celle-ci et l'affection, et encore moins établir l'exigence d'une relation prépondérante (arrêt du Tribunal fédéral 8C_306/2014 du 27 mars 2015 consid. 5.2). En définitive, c’est donc à juste titre que la CNA a refusé reconnaître la présence d’une maladie professionnelle chez le recourant et a nié le droit à des prestations dans ce cadre.</w:t>
      </w:r>
    </w:p>
    <w:p>
      <w:r>
        <w:rPr>
          <w:b/>
        </w:rPr>
        <w:t>E. 3.3</w:t>
      </w:r>
    </w:p>
    <w:p>
      <w:r>
        <w:t>Dans les conclusions de son recours, le recourant a également requis la mise en œuvre d’une expertise visant à élucider son exposition professionnelle à l’amiante. Compte tenu des pièces du dossier, et en particulier des rapports relatifs à l’anamnèse professionnelle effectuée par la CNA, complétée par l’examen du compte individuel AVS et de l’interrogatoire du recourant durant l’audience du 22 août 2022, la Cour de céans juge que cette mesure d’instruction ne serait pas à même d’apporter un éclairage supplémentaire aux éléments déjà présents au dossier, de sorte qu’elle décide d’y renoncer, étant rappelé qu'il est de jurisprudence constante que, si l'administration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chercher d'autres preuves (sur l'appréciation anticipée des preuves, voir ATF 147 I 167 consid. 4.1 et 124 V 90 consid. 4b). Une telle manière de procéder ne viole pas le droit d'être entendu (art. 9 Cst ; ATF 141 I 60 consid. 3.3 ; 136 I 229 consid. 5.3 et les arrêts cités).</w:t>
      </w:r>
    </w:p>
    <w:p>
      <w:r>
        <w:rPr>
          <w:b/>
        </w:rPr>
        <w:t>E. 4.1</w:t>
      </w:r>
    </w:p>
    <w:p>
      <w:r>
        <w:t>Il n’est pas perçu de frais (art. 61 let. fbis LPGA), la loi spéciale, en l’occurrence la LAA, ne prévoyant pas le prélèvement de frais de justice.</w:t>
      </w:r>
    </w:p>
    <w:p>
      <w:r>
        <w:rPr>
          <w:b/>
        </w:rPr>
        <w:t>E. 4.2</w:t>
      </w:r>
    </w:p>
    <w:p>
      <w:r>
        <w:t>Vu l’issue de la cause, il n’est pas alloué de dépens au recourant (art.61 let. g LPGA a contrario), ni à l’intimée, laquelle agit comme autorité chargée de tâches de droit public (art. 91 al. 3 LPGA ; ATF 126 V 143 consid.4).</w:t>
      </w:r>
    </w:p>
    <w:p>
      <w:r>
        <w:t>- 20 -</w:t>
      </w:r>
    </w:p>
    <w:p>
      <w:r>
        <w:t>Prononce</w:t>
      </w:r>
    </w:p>
    <w:p>
      <w:r>
        <w:t>1. Le recours est rejeté. 2. Il n'est pas perçu de frais, ni alloué de dépens.</w:t>
      </w:r>
    </w:p>
    <w:p>
      <w:r>
        <w:t>Sion, le 23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